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B27A" w14:textId="6D868423" w:rsidR="00BD7168" w:rsidRPr="00BD7168" w:rsidRDefault="00BD7168" w:rsidP="00BD71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168">
        <w:rPr>
          <w:rFonts w:ascii="Times New Roman" w:hAnsi="Times New Roman" w:cs="Times New Roman"/>
          <w:b/>
          <w:bCs/>
          <w:sz w:val="28"/>
          <w:szCs w:val="28"/>
        </w:rPr>
        <w:t>LỄ RA MẮT CÔNG TRÌNH “ĐƯỜNG CỜ TỔ QUỐC” CHÀO MỪNG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br/>
      </w:r>
      <w:r w:rsidRPr="00BD7168">
        <w:rPr>
          <w:rFonts w:ascii="Times New Roman" w:hAnsi="Times New Roman" w:cs="Times New Roman"/>
          <w:b/>
          <w:bCs/>
          <w:sz w:val="28"/>
          <w:szCs w:val="28"/>
        </w:rPr>
        <w:t xml:space="preserve"> ĐẠI HỘI ĐẢNG BỘ XÃ LONG THÀNH NAM LẦN THỨ XII,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br/>
      </w:r>
      <w:r w:rsidRPr="00BD7168">
        <w:rPr>
          <w:rFonts w:ascii="Times New Roman" w:hAnsi="Times New Roman" w:cs="Times New Roman"/>
          <w:b/>
          <w:bCs/>
          <w:sz w:val="28"/>
          <w:szCs w:val="28"/>
        </w:rPr>
        <w:t xml:space="preserve"> NHIỆM KỲ 2025–2030;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br/>
      </w:r>
      <w:r w:rsidRPr="00BD7168">
        <w:rPr>
          <w:rFonts w:ascii="Times New Roman" w:hAnsi="Times New Roman" w:cs="Times New Roman"/>
          <w:b/>
          <w:bCs/>
          <w:sz w:val="28"/>
          <w:szCs w:val="28"/>
        </w:rPr>
        <w:t>HƯỞNG ỨNG RA QUÂN THÁNG THANH NIÊN NĂM 2025.</w:t>
      </w:r>
    </w:p>
    <w:p w14:paraId="1CDFEB55" w14:textId="77777777" w:rsidR="00BD7168" w:rsidRPr="00BD7168" w:rsidRDefault="00BD7168" w:rsidP="00BD7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7168">
        <w:rPr>
          <w:rFonts w:ascii="Times New Roman" w:hAnsi="Times New Roman" w:cs="Times New Roman"/>
          <w:sz w:val="28"/>
          <w:szCs w:val="28"/>
        </w:rPr>
        <w:t xml:space="preserve">Sáng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01/3/2025,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7 Tôn Đức Thắng,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Giang Tân,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Long Thành Nam, BCH Đoàn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VHTT - HTCĐ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XII,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2025–2030,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2025,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treo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>.</w:t>
      </w:r>
    </w:p>
    <w:p w14:paraId="5553DCC4" w14:textId="77777777" w:rsidR="00BD7168" w:rsidRPr="00BD7168" w:rsidRDefault="00BD7168" w:rsidP="00BD7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7168">
        <w:rPr>
          <w:rFonts w:ascii="Times New Roman" w:hAnsi="Times New Roman" w:cs="Times New Roman"/>
          <w:sz w:val="28"/>
          <w:szCs w:val="28"/>
        </w:rPr>
        <w:t xml:space="preserve">Tham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Trung Hiếu - Thị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Thư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UBND, </w:t>
      </w:r>
      <w:proofErr w:type="gramStart"/>
      <w:r w:rsidRPr="00BD7168">
        <w:rPr>
          <w:rFonts w:ascii="Times New Roman" w:hAnsi="Times New Roman" w:cs="Times New Roman"/>
          <w:sz w:val="28"/>
          <w:szCs w:val="28"/>
        </w:rPr>
        <w:t>UB.MTTQVN</w:t>
      </w:r>
      <w:proofErr w:type="gram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Đoàn,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7 Tôn Đức Thắng,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Giang Tân.</w:t>
      </w:r>
    </w:p>
    <w:p w14:paraId="0D493096" w14:textId="77777777" w:rsidR="00BD7168" w:rsidRPr="00BD7168" w:rsidRDefault="00BD7168" w:rsidP="00BD7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7168">
        <w:rPr>
          <w:rFonts w:ascii="Times New Roman" w:hAnsi="Times New Roman" w:cs="Times New Roman"/>
          <w:sz w:val="28"/>
          <w:szCs w:val="28"/>
        </w:rPr>
        <w:t xml:space="preserve">Công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7 Tôn Đức Thắng,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Giang Tân,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Long Thành Nam,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400m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3,5m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treo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1,2m x 0,8m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>.</w:t>
      </w:r>
    </w:p>
    <w:p w14:paraId="4BD994C0" w14:textId="77777777" w:rsidR="00BD7168" w:rsidRPr="00BD7168" w:rsidRDefault="00BD7168" w:rsidP="00BD71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7168">
        <w:rPr>
          <w:rFonts w:ascii="Times New Roman" w:hAnsi="Times New Roman" w:cs="Times New Roman"/>
          <w:sz w:val="28"/>
          <w:szCs w:val="28"/>
        </w:rPr>
        <w:t xml:space="preserve">Công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Long Thành Nam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16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7168">
        <w:rPr>
          <w:rFonts w:ascii="Times New Roman" w:hAnsi="Times New Roman" w:cs="Times New Roman"/>
          <w:sz w:val="28"/>
          <w:szCs w:val="28"/>
        </w:rPr>
        <w:t>.</w:t>
      </w:r>
    </w:p>
    <w:p w14:paraId="752C74AB" w14:textId="77777777" w:rsidR="00BD7168" w:rsidRPr="00BD7168" w:rsidRDefault="00BD7168" w:rsidP="00BD716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D7168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#Thangthanhnien2025</w:t>
        </w:r>
      </w:hyperlink>
    </w:p>
    <w:p w14:paraId="4584CC0A" w14:textId="77777777" w:rsidR="00BD7168" w:rsidRPr="00BD7168" w:rsidRDefault="00BD7168" w:rsidP="00BD716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D7168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#ĐTNLongThanhNam2025</w:t>
        </w:r>
      </w:hyperlink>
    </w:p>
    <w:p w14:paraId="40E242BE" w14:textId="77777777" w:rsidR="00B874BE" w:rsidRPr="00BD7168" w:rsidRDefault="00B874BE">
      <w:pPr>
        <w:rPr>
          <w:rFonts w:ascii="Times New Roman" w:hAnsi="Times New Roman" w:cs="Times New Roman"/>
          <w:sz w:val="28"/>
          <w:szCs w:val="28"/>
        </w:rPr>
      </w:pPr>
    </w:p>
    <w:sectPr w:rsidR="00B874BE" w:rsidRPr="00BD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8"/>
    <w:rsid w:val="002D7E72"/>
    <w:rsid w:val="007C2942"/>
    <w:rsid w:val="00B874BE"/>
    <w:rsid w:val="00B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DEEBF5"/>
  <w15:chartTrackingRefBased/>
  <w15:docId w15:val="{23D6962D-2245-4536-AFA3-0998D0C2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1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71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1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6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3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%C4%91tnlongthanhnam2025?__eep__=6&amp;__cft__%5b0%5d=AZU2mFUylZpP_vCFcoULFPm-63ryWOoHkIvGU7BfNQ-0wIF7qOuD-JgWNDof45AcX07vher52R2pQwU4Ef830N7T3WHnd0Bb8G1_cMvUgOH94yACwrckoTGZw8TD_JXcI3Od1blTezd9sCerClHywnNN-n_b20fAu8VNnaPeKFo0zw&amp;__tn__=*NK-R" TargetMode="External"/><Relationship Id="rId4" Type="http://schemas.openxmlformats.org/officeDocument/2006/relationships/hyperlink" Target="https://www.facebook.com/hashtag/thangthanhnien2025?__eep__=6&amp;__cft__%5b0%5d=AZU2mFUylZpP_vCFcoULFPm-63ryWOoHkIvGU7BfNQ-0wIF7qOuD-JgWNDof45AcX07vher52R2pQwU4Ef830N7T3WHnd0Bb8G1_cMvUgOH94yACwrckoTGZw8TD_JXcI3Od1blTezd9sCerClHywnNN-n_b20fAu8VNnaPeKFo0zw&amp;__tn__=*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Công Nghĩa Võ</dc:creator>
  <cp:keywords/>
  <dc:description/>
  <cp:lastModifiedBy>Võ Công Nghĩa Võ</cp:lastModifiedBy>
  <cp:revision>1</cp:revision>
  <dcterms:created xsi:type="dcterms:W3CDTF">2025-03-02T10:51:00Z</dcterms:created>
  <dcterms:modified xsi:type="dcterms:W3CDTF">2025-03-02T10:54:00Z</dcterms:modified>
</cp:coreProperties>
</file>